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16,</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favored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study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Most previous studies on stemmed points focused on where they may have originated, connecting Korea with global patterns of modern human dispersal. There are, however, largely unanswered questions about the specific cultural processes and social contexts of this technological change in Korea</w:t>
      </w:r>
      <w:r>
        <w:t xml:space="preserve"> </w:t>
      </w:r>
      <w:r>
        <w:t xml:space="preserve">(Bae et al., 2017; Bae, 2010; Seong, 2008)</w:t>
      </w:r>
      <w:r>
        <w:t xml:space="preserve">. Our study explores the social contexts in which new technologies emerged in the Korean Late Paleolithic based on a cultural transmission framework. Our main question is: What was the dominant mode of cultural transmission for technological innovation in the Korean Late Paleolithic? We also ask: Do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developed independently.</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A stemmed point is a projectile point made out of an elongated flake or blade with a slight retouch on the proximal end to shape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Yonghodoing site in Korea, dating back to 38.5ka</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projectile points made when copied from successful models were more highly correlated than attributes of points made by trial and error. Mesoudi and O’Brien’s experimental results are critical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and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since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t>
      </w:r>
      <w:r>
        <w:t xml:space="preserve">we captured the landmarks from images of the artifacts, and exported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determined by the ratio of the standard deviation to the mean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all the various artifacts for which @eerkens2001techniques summarized CV values, the most comparable to stemmed points are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As an example, we compared samples of less than 25 pieces in order to explore temporal and regional patterns. Given these relatively small sample sizes in our study, we used the corrected CV formula,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Rosegate points range from 17% to 24%. We believe the higher side of the CV range of Rosegate points is appropriate as a threshold value for our research based on the following reasons.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0.023</w:t>
            </w:r>
          </w:p>
        </w:tc>
        <w:tc>
          <w:tcPr/>
          <w:p>
            <w:pPr>
              <w:pStyle w:val="Compact"/>
              <w:jc w:val="right"/>
            </w:pPr>
            <w:r>
              <w:t xml:space="preserve">0.880</w:t>
            </w:r>
          </w:p>
        </w:tc>
      </w:tr>
      <w:tr>
        <w:tc>
          <w:tcPr/>
          <w:p>
            <w:pPr>
              <w:pStyle w:val="Compact"/>
              <w:jc w:val="left"/>
            </w:pPr>
            <w:r>
              <w:t xml:space="preserve">SW</w:t>
            </w:r>
          </w:p>
        </w:tc>
        <w:tc>
          <w:tcPr/>
          <w:p>
            <w:pPr>
              <w:pStyle w:val="Compact"/>
              <w:jc w:val="right"/>
            </w:pPr>
            <w:r>
              <w:t xml:space="preserve">0.042</w:t>
            </w:r>
          </w:p>
        </w:tc>
        <w:tc>
          <w:tcPr/>
          <w:p>
            <w:pPr>
              <w:pStyle w:val="Compact"/>
              <w:jc w:val="right"/>
            </w:pPr>
            <w:r>
              <w:t xml:space="preserve">0.838</w:t>
            </w:r>
          </w:p>
        </w:tc>
      </w:tr>
      <w:tr>
        <w:tc>
          <w:tcPr/>
          <w:p>
            <w:pPr>
              <w:pStyle w:val="Compact"/>
              <w:jc w:val="left"/>
            </w:pPr>
            <w:r>
              <w:t xml:space="preserve">BL</w:t>
            </w:r>
          </w:p>
        </w:tc>
        <w:tc>
          <w:tcPr/>
          <w:p>
            <w:pPr>
              <w:pStyle w:val="Compact"/>
              <w:jc w:val="right"/>
            </w:pPr>
            <w:r>
              <w:t xml:space="preserve">0.347</w:t>
            </w:r>
          </w:p>
        </w:tc>
        <w:tc>
          <w:tcPr/>
          <w:p>
            <w:pPr>
              <w:pStyle w:val="Compact"/>
              <w:jc w:val="right"/>
            </w:pPr>
            <w:r>
              <w:t xml:space="preserve">0.556</w:t>
            </w:r>
          </w:p>
        </w:tc>
      </w:tr>
      <w:tr>
        <w:tc>
          <w:tcPr/>
          <w:p>
            <w:pPr>
              <w:pStyle w:val="Compact"/>
              <w:jc w:val="left"/>
            </w:pPr>
            <w:r>
              <w:t xml:space="preserve">ML</w:t>
            </w:r>
          </w:p>
        </w:tc>
        <w:tc>
          <w:tcPr/>
          <w:p>
            <w:pPr>
              <w:pStyle w:val="Compact"/>
              <w:jc w:val="right"/>
            </w:pPr>
            <w:r>
              <w:t xml:space="preserve">0.420</w:t>
            </w:r>
          </w:p>
        </w:tc>
        <w:tc>
          <w:tcPr/>
          <w:p>
            <w:pPr>
              <w:pStyle w:val="Compact"/>
              <w:jc w:val="right"/>
            </w:pPr>
            <w:r>
              <w:t xml:space="preserve">0.517</w:t>
            </w:r>
          </w:p>
        </w:tc>
      </w:tr>
      <w:tr>
        <w:tc>
          <w:tcPr/>
          <w:p>
            <w:pPr>
              <w:pStyle w:val="Compact"/>
              <w:jc w:val="left"/>
            </w:pPr>
            <w:r>
              <w:t xml:space="preserve">SL</w:t>
            </w:r>
          </w:p>
        </w:tc>
        <w:tc>
          <w:tcPr/>
          <w:p>
            <w:pPr>
              <w:pStyle w:val="Compact"/>
              <w:jc w:val="right"/>
            </w:pPr>
            <w:r>
              <w:t xml:space="preserve">0.481</w:t>
            </w:r>
          </w:p>
        </w:tc>
        <w:tc>
          <w:tcPr/>
          <w:p>
            <w:pPr>
              <w:pStyle w:val="Compact"/>
              <w:jc w:val="right"/>
            </w:pPr>
            <w:r>
              <w:t xml:space="preserve">0.488</w:t>
            </w:r>
          </w:p>
        </w:tc>
      </w:tr>
      <w:tr>
        <w:tc>
          <w:tcPr/>
          <w:p>
            <w:pPr>
              <w:pStyle w:val="Compact"/>
              <w:jc w:val="left"/>
            </w:pPr>
            <w:r>
              <w:t xml:space="preserve">TW</w:t>
            </w:r>
          </w:p>
        </w:tc>
        <w:tc>
          <w:tcPr/>
          <w:p>
            <w:pPr>
              <w:pStyle w:val="Compact"/>
              <w:jc w:val="right"/>
            </w:pPr>
            <w:r>
              <w:t xml:space="preserve">0.722</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0.797</w:t>
            </w:r>
          </w:p>
        </w:tc>
        <w:tc>
          <w:tcPr/>
          <w:p>
            <w:pPr>
              <w:pStyle w:val="Compact"/>
              <w:jc w:val="right"/>
            </w:pPr>
            <w:r>
              <w:t xml:space="preserve">0.372</w:t>
            </w:r>
          </w:p>
        </w:tc>
      </w:tr>
    </w:tbl>
    <w:bookmarkEnd w:id="76"/>
    <w:p>
      <w:pPr>
        <w:pStyle w:val="BodyText"/>
      </w:pPr>
      <w:r>
        <w:t xml:space="preserve">In exploring geographical variation we found no clear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can be more depending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We observed that CV values of body length (BL), maximum length (ML), mid width (MW), and tang width (TW) are generally lower than tang length (TL), stem length (SL), and stem width (SW), similar to what is evident in</w:t>
      </w:r>
      <w:r>
        <w:t xml:space="preserve"> </w:t>
      </w:r>
      <w:hyperlink w:anchor="fig-plot-cv-all-attributes">
        <w:r>
          <w:rPr>
            <w:rStyle w:val="Hyperlink"/>
          </w:rPr>
          <w:t xml:space="preserve">Figure 7</w:t>
        </w:r>
      </w:hyperlink>
      <w:r>
        <w:t xml:space="preserve">.</w:t>
      </w:r>
    </w:p>
    <w:p>
      <w:pPr>
        <w:pStyle w:val="BodyText"/>
      </w:pPr>
      <w:r>
        <w:t xml:space="preserve">In our interpretation, attributes with lower CV values were transmitted in a social context dominated by indirect bias, whereas attributes with high CV values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spot of impact at the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This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 in situ model for the appearance of stemmed points in Korea. This model proposes that people developed stemmed points by experimenting with existing elongate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r>
        <w:t xml:space="preserve"> </w:t>
      </w:r>
      <w:r>
        <w:t xml:space="preserve"># 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9"/>
    <w:bookmarkStart w:id="167" w:name="references"/>
    <w:p>
      <w:pPr>
        <w:pStyle w:val="Heading1"/>
      </w:pPr>
      <w:r>
        <w:t xml:space="preserve">References</w:t>
      </w:r>
    </w:p>
    <w:bookmarkStart w:id="165" w:name="refs"/>
    <w:bookmarkStart w:id="80"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0"/>
    <w:bookmarkStart w:id="81" w:name="ref-bae2013early"/>
    <w:p>
      <w:pPr>
        <w:pStyle w:val="Bibliography"/>
      </w:pPr>
      <w:r>
        <w:t xml:space="preserve">Bae, C., Bae, K., Kim, J.C., 2013. The early to late paleolithic transition in korea: A closer look. Radiocarbon 55, 1341–1349.</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7origin"/>
    <w:p>
      <w:pPr>
        <w:pStyle w:val="Bibliography"/>
      </w:pPr>
      <w:r>
        <w:t xml:space="preserve">Bae, C.J., Douka, K., Petraglia, M.D., 2017. On the origin of modern humans: Asian perspectives. Science 358, eaai9067.</w:t>
      </w:r>
    </w:p>
    <w:bookmarkEnd w:id="83"/>
    <w:bookmarkStart w:id="84" w:name="ref-bae2010origin"/>
    <w:p>
      <w:pPr>
        <w:pStyle w:val="Bibliography"/>
      </w:pPr>
      <w:r>
        <w:t xml:space="preserve">Bae, K., 2010. Origin and patterns of the upper paleolithic industries in the korean peninsula and movement of modern humans in east asia. Quaternary International 211, 103–112.</w:t>
      </w:r>
    </w:p>
    <w:bookmarkEnd w:id="84"/>
    <w:bookmarkStart w:id="85" w:name="ref-bamforth2009projectile"/>
    <w:p>
      <w:pPr>
        <w:pStyle w:val="Bibliography"/>
      </w:pPr>
      <w:r>
        <w:t xml:space="preserve">Bamforth, D.B., 2009. Projectile points, people, and plains paleoindian perambulations. Journal of Anthropological Archaeology 28, 142–157.</w:t>
      </w:r>
    </w:p>
    <w:bookmarkEnd w:id="85"/>
    <w:bookmarkStart w:id="86" w:name="ref-banik2011estimating"/>
    <w:p>
      <w:pPr>
        <w:pStyle w:val="Bibliography"/>
      </w:pPr>
      <w:r>
        <w:t xml:space="preserve">Banik, S., Kibria, B.G., 2011. Estimating the population coefficient of variation by confidence intervals. Communications in Statistics-Simulation and Computation 40, 1236–1261.</w:t>
      </w:r>
    </w:p>
    <w:bookmarkEnd w:id="86"/>
    <w:bookmarkStart w:id="87"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7"/>
    <w:bookmarkStart w:id="88" w:name="ref-bettinger1999point"/>
    <w:p>
      <w:pPr>
        <w:pStyle w:val="Bibliography"/>
      </w:pPr>
      <w:r>
        <w:t xml:space="preserve">Bettinger, R.L., Eerkens, J., 1999. Point typologies, cultural transmission, and the spread of bow-and-arrow technology in the prehistoric great basin. American antiquity 231–242.</w:t>
      </w:r>
    </w:p>
    <w:bookmarkEnd w:id="88"/>
    <w:bookmarkStart w:id="89"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9"/>
    <w:bookmarkStart w:id="90" w:name="ref-bettinger1997rediscovering"/>
    <w:p>
      <w:pPr>
        <w:pStyle w:val="Bibliography"/>
      </w:pPr>
      <w:r>
        <w:t xml:space="preserve">Bettinger, R.L., Eerkens, J.W., Barton, C., Clark, G., 1997. Rediscovering darwin: Evolutionary theory and archaeological explanation.</w:t>
      </w:r>
    </w:p>
    <w:bookmarkEnd w:id="90"/>
    <w:bookmarkStart w:id="91" w:name="ref-bischoff2021rosegate"/>
    <w:p>
      <w:pPr>
        <w:pStyle w:val="Bibliography"/>
      </w:pPr>
      <w:r>
        <w:t xml:space="preserve">Bischoff, R., Allison, J., 2021. Rosegate projectile points in the fremont region.</w:t>
      </w:r>
    </w:p>
    <w:bookmarkEnd w:id="91"/>
    <w:bookmarkStart w:id="92" w:name="ref-boyd1988culture"/>
    <w:p>
      <w:pPr>
        <w:pStyle w:val="Bibliography"/>
      </w:pPr>
      <w:r>
        <w:t xml:space="preserve">Boyd, R., Richerson, P.J., 1988. Culture and the evolutionary process. University of Chicago press.</w:t>
      </w:r>
    </w:p>
    <w:bookmarkEnd w:id="92"/>
    <w:bookmarkStart w:id="9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3"/>
    <w:bookmarkStart w:id="9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4"/>
    <w:bookmarkStart w:id="95" w:name="ref-chang2013human"/>
    <w:p>
      <w:pPr>
        <w:pStyle w:val="Bibliography"/>
      </w:pPr>
      <w:r>
        <w:t xml:space="preserve">Chang, Y., 2013. Human activity and lithic technology between korea and japan from MIS 3 to MIS 2 in the late paleolithic period. Quaternary International 308, 13–26.</w:t>
      </w:r>
    </w:p>
    <w:bookmarkEnd w:id="95"/>
    <w:bookmarkStart w:id="96" w:name="ref-cheshier2006projectile"/>
    <w:p>
      <w:pPr>
        <w:pStyle w:val="Bibliography"/>
      </w:pPr>
      <w:r>
        <w:t xml:space="preserve">Cheshier, J., Kelly, R.L., 2006. Projectile point shape and durability: The effect of thickness: length. American Antiquity 353–363.</w:t>
      </w:r>
    </w:p>
    <w:bookmarkEnd w:id="96"/>
    <w:bookmarkStart w:id="9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ohn_1967"/>
    <w:p>
      <w:pPr>
        <w:pStyle w:val="Bibliography"/>
      </w:pPr>
      <w:r>
        <w:t xml:space="preserve">Sohn, P., 1967. Seokjang-ri paleolithic culture. Yeoksahakbo 379–397.</w:t>
      </w:r>
    </w:p>
    <w:bookmarkEnd w:id="153"/>
    <w:bookmarkStart w:id="15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4"/>
    <w:bookmarkStart w:id="155" w:name="ref-thulman2012discriminating"/>
    <w:p>
      <w:pPr>
        <w:pStyle w:val="Bibliography"/>
      </w:pPr>
      <w:r>
        <w:t xml:space="preserve">Thulman, D.K., 2012. Discriminating paleoindian point types from florida using landmark geometric morphometrics. Journal of Archaeological Science 39, 1599–1607.</w:t>
      </w:r>
    </w:p>
    <w:bookmarkEnd w:id="155"/>
    <w:bookmarkStart w:id="15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6"/>
    <w:bookmarkStart w:id="157" w:name="ref-vangel1996confidence"/>
    <w:p>
      <w:pPr>
        <w:pStyle w:val="Bibliography"/>
      </w:pPr>
      <w:r>
        <w:t xml:space="preserve">Vangel, M.G., 1996. Confidence intervals for a normal coefficient of variation. The American Statistician 50, 21–26.</w:t>
      </w:r>
    </w:p>
    <w:bookmarkEnd w:id="157"/>
    <w:bookmarkStart w:id="158" w:name="ref-vanpool2011quantitative"/>
    <w:p>
      <w:pPr>
        <w:pStyle w:val="Bibliography"/>
      </w:pPr>
      <w:r>
        <w:t xml:space="preserve">VanPool, T.L., Leonard, R.D., 2011. Quantitative analysis in archaeology. John Wiley &amp; Sons.</w:t>
      </w:r>
    </w:p>
    <w:bookmarkEnd w:id="158"/>
    <w:bookmarkStart w:id="15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2023-02-16 18:06:07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[eb973bd] 2023-02-16: Done editing based on Ben's comments</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2023-02-17T02:06:10Z</dcterms:created>
  <dcterms:modified xsi:type="dcterms:W3CDTF">2023-02-17T02:06:10Z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